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S5-250495</w:t>
      </w:r>
    </w:p>
    <w:p>
      <w:pPr>
        <w:pStyle w:val="11"/>
        <w:pBdr>
          <w:bottom w:val="single" w:color="auto" w:sz="4" w:space="1"/>
        </w:pBdr>
        <w:tabs>
          <w:tab w:val="right" w:pos="9638"/>
        </w:tabs>
        <w:rPr>
          <w:rFonts w:ascii="Arial" w:hAnsi="Arial" w:eastAsia="Batang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Sophia-Antipolis, France, 17 - 21 February 2025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W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Charging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spects of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next generation real time communication services phase 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spects of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next generation real time communication services phase 2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NG_RTC_Ph2_CH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5"/>
      </w:pPr>
      <w:r>
        <w:t>{For Normative work, identify the anticipated impacts. For a Study, identify the scope of the study}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29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29"/>
            </w:pPr>
            <w:r>
              <w:t>X</w:t>
            </w:r>
          </w:p>
        </w:tc>
        <w:tc>
          <w:tcPr>
            <w:tcW w:w="1037" w:type="dxa"/>
            <w:vAlign w:val="top"/>
          </w:tcPr>
          <w:p>
            <w:pPr>
              <w:pStyle w:val="29"/>
            </w:pPr>
            <w:r>
              <w:t>X</w:t>
            </w:r>
          </w:p>
        </w:tc>
        <w:tc>
          <w:tcPr>
            <w:tcW w:w="850" w:type="dxa"/>
            <w:vAlign w:val="top"/>
          </w:tcPr>
          <w:p>
            <w:pPr>
              <w:pStyle w:val="29"/>
            </w:pPr>
            <w:r>
              <w:t>X</w:t>
            </w:r>
          </w:p>
        </w:tc>
        <w:tc>
          <w:tcPr>
            <w:tcW w:w="851" w:type="dxa"/>
            <w:vAlign w:val="top"/>
          </w:tcPr>
          <w:p>
            <w:pPr>
              <w:pStyle w:val="29"/>
            </w:pPr>
          </w:p>
        </w:tc>
        <w:tc>
          <w:tcPr>
            <w:tcW w:w="1752" w:type="dxa"/>
            <w:vAlign w:val="top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29"/>
            </w:pPr>
          </w:p>
        </w:tc>
        <w:tc>
          <w:tcPr>
            <w:tcW w:w="1037" w:type="dxa"/>
            <w:vAlign w:val="top"/>
          </w:tcPr>
          <w:p>
            <w:pPr>
              <w:pStyle w:val="29"/>
            </w:pPr>
          </w:p>
        </w:tc>
        <w:tc>
          <w:tcPr>
            <w:tcW w:w="850" w:type="dxa"/>
            <w:vAlign w:val="top"/>
          </w:tcPr>
          <w:p>
            <w:pPr>
              <w:pStyle w:val="29"/>
            </w:pPr>
          </w:p>
        </w:tc>
        <w:tc>
          <w:tcPr>
            <w:tcW w:w="851" w:type="dxa"/>
            <w:vAlign w:val="top"/>
          </w:tcPr>
          <w:p>
            <w:pPr>
              <w:pStyle w:val="29"/>
            </w:pPr>
          </w:p>
        </w:tc>
        <w:tc>
          <w:tcPr>
            <w:tcW w:w="1752" w:type="dxa"/>
            <w:vAlign w:val="top"/>
          </w:tcPr>
          <w:p>
            <w:pPr>
              <w:pStyle w:val="29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FS_NG_RTC_Ph2_CH</w:t>
            </w:r>
          </w:p>
        </w:tc>
        <w:tc>
          <w:tcPr>
            <w:tcW w:w="1101" w:type="dxa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3GPP SA5</w:t>
            </w:r>
          </w:p>
        </w:tc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1040016</w:t>
            </w:r>
          </w:p>
        </w:tc>
        <w:tc>
          <w:tcPr>
            <w:tcW w:w="6010" w:type="dxa"/>
          </w:tcPr>
          <w:p>
            <w:pPr>
              <w:pStyle w:val="27"/>
            </w:pPr>
            <w:r>
              <w:rPr>
                <w:rFonts w:hint="eastAsia"/>
              </w:rPr>
              <w:t>Study on Charging aspects of next generation real time communication services phase 2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  <w:vAlign w:val="top"/>
          </w:tcPr>
          <w:p>
            <w:pPr>
              <w:pStyle w:val="27"/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  <w:vAlign w:val="top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Work Item of Stage 1 requirements</w:t>
            </w:r>
            <w:r>
              <w:rPr>
                <w:lang w:eastAsia="zh-CN"/>
              </w:rPr>
              <w:t xml:space="preserve"> for IMS MMTel enhancement (SA1)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</w:pPr>
            <w:r>
              <w:rPr>
                <w:rFonts w:hint="eastAsia"/>
              </w:rPr>
              <w:t>970014</w:t>
            </w:r>
          </w:p>
        </w:tc>
        <w:tc>
          <w:tcPr>
            <w:tcW w:w="3326" w:type="dxa"/>
            <w:vAlign w:val="top"/>
          </w:tcPr>
          <w:p>
            <w:pPr>
              <w:pStyle w:val="27"/>
            </w:pPr>
            <w:r>
              <w:t>System architecture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Work 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>2 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Rel-18 (SA2)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</w:pPr>
            <w:r>
              <w:t>1000008</w:t>
            </w:r>
          </w:p>
        </w:tc>
        <w:tc>
          <w:tcPr>
            <w:tcW w:w="3326" w:type="dxa"/>
            <w:vAlign w:val="top"/>
          </w:tcPr>
          <w:p>
            <w:pPr>
              <w:pStyle w:val="27"/>
              <w:tabs>
                <w:tab w:val="left" w:pos="789"/>
              </w:tabs>
            </w:pPr>
            <w:r>
              <w:rPr>
                <w:rFonts w:cs="Arial"/>
                <w:szCs w:val="18"/>
              </w:rPr>
              <w:t>Charging Aspects of IMS Data Channel</w:t>
            </w:r>
          </w:p>
        </w:tc>
        <w:tc>
          <w:tcPr>
            <w:tcW w:w="5099" w:type="dxa"/>
            <w:vAlign w:val="top"/>
          </w:tcPr>
          <w:p>
            <w:pPr>
              <w:pStyle w:val="27"/>
            </w:pPr>
            <w:r>
              <w:rPr>
                <w:rFonts w:hint="eastAsia"/>
              </w:rPr>
              <w:t>SA5 Rel-18 WID for</w:t>
            </w:r>
            <w:r>
              <w:t xml:space="preserve"> I</w:t>
            </w:r>
            <w:r>
              <w:rPr>
                <w:rFonts w:cs="Arial"/>
                <w:szCs w:val="18"/>
              </w:rPr>
              <w:t>MS data channel charging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  <w:vAlign w:val="top"/>
          </w:tcPr>
          <w:p>
            <w:pPr>
              <w:pStyle w:val="27"/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  <w:vAlign w:val="top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Work</w:t>
            </w:r>
            <w:r>
              <w:rPr>
                <w:lang w:eastAsia="zh-CN"/>
              </w:rPr>
              <w:t xml:space="preserve"> I</w:t>
            </w:r>
            <w:r>
              <w:rPr>
                <w:rFonts w:hint="eastAsia"/>
                <w:lang w:eastAsia="zh-CN"/>
              </w:rPr>
              <w:t>tem</w:t>
            </w:r>
            <w:r>
              <w:rPr>
                <w:lang w:eastAsia="zh-CN"/>
              </w:rPr>
              <w:t xml:space="preserve"> of Stage 1 requirements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lang w:eastAsia="zh-CN"/>
              </w:rPr>
              <w:t>PS Data Off for IMS Data Channel Service (SA1)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</w:pPr>
            <w:r>
              <w:t>1000028</w:t>
            </w:r>
          </w:p>
        </w:tc>
        <w:tc>
          <w:tcPr>
            <w:tcW w:w="3326" w:type="dxa"/>
            <w:vAlign w:val="top"/>
          </w:tcPr>
          <w:p>
            <w:pPr>
              <w:pStyle w:val="27"/>
              <w:tabs>
                <w:tab w:val="left" w:pos="789"/>
              </w:tabs>
            </w:pPr>
            <w:r>
              <w:rPr>
                <w:rFonts w:cs="Arial"/>
                <w:szCs w:val="18"/>
              </w:rPr>
              <w:t>Stage 1 of Localized Mobile Metaverse Services</w:t>
            </w:r>
          </w:p>
        </w:tc>
        <w:tc>
          <w:tcPr>
            <w:tcW w:w="5099" w:type="dxa"/>
            <w:vAlign w:val="top"/>
          </w:tcPr>
          <w:p>
            <w:pPr>
              <w:pStyle w:val="27"/>
            </w:pPr>
            <w:r>
              <w:t>Work Item of Stage 1 requirement for Metaverse Service (SA1)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</w:pPr>
            <w:r>
              <w:t>1010030</w:t>
            </w:r>
          </w:p>
        </w:tc>
        <w:tc>
          <w:tcPr>
            <w:tcW w:w="3326" w:type="dxa"/>
            <w:vAlign w:val="top"/>
          </w:tcPr>
          <w:p>
            <w:pPr>
              <w:pStyle w:val="27"/>
              <w:tabs>
                <w:tab w:val="left" w:pos="789"/>
              </w:tabs>
            </w:pPr>
            <w:r>
              <w:rPr>
                <w:rFonts w:cs="Arial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  <w:vAlign w:val="top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Study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>2 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 (SA2)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</w:pPr>
            <w:r>
              <w:rPr>
                <w:rFonts w:hint="eastAsia"/>
              </w:rPr>
              <w:t>1050066</w:t>
            </w:r>
          </w:p>
        </w:tc>
        <w:tc>
          <w:tcPr>
            <w:tcW w:w="3326" w:type="dxa"/>
            <w:vAlign w:val="top"/>
          </w:tcPr>
          <w:p>
            <w:pPr>
              <w:pStyle w:val="27"/>
              <w:tabs>
                <w:tab w:val="left" w:pos="789"/>
              </w:tabs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  <w:vAlign w:val="top"/>
          </w:tcPr>
          <w:p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</w:t>
            </w:r>
            <w:r>
              <w:rPr>
                <w:lang w:eastAsia="zh-CN"/>
              </w:rPr>
              <w:t xml:space="preserve"> I</w:t>
            </w:r>
            <w:r>
              <w:rPr>
                <w:rFonts w:hint="eastAsia"/>
                <w:lang w:eastAsia="zh-CN"/>
              </w:rPr>
              <w:t>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val="en-US" w:eastAsia="zh-CN"/>
              </w:rPr>
              <w:t xml:space="preserve">2 </w:t>
            </w:r>
            <w:r>
              <w:rPr>
                <w:rFonts w:hint="eastAsia"/>
                <w:lang w:eastAsia="zh-CN"/>
              </w:rPr>
              <w:t>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 (SA2)</w:t>
            </w:r>
          </w:p>
        </w:tc>
      </w:tr>
    </w:tbl>
    <w:p>
      <w:pPr>
        <w:pStyle w:val="30"/>
      </w:pPr>
    </w:p>
    <w:p>
      <w:pPr>
        <w:rPr>
          <w:rFonts w:hint="eastAsia"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bCs/>
        </w:rPr>
        <w:t>None.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>the system architecture enhancements to support next generation real time communication services</w:t>
      </w:r>
      <w:r>
        <w:rPr>
          <w:color w:val="000000"/>
          <w:lang w:eastAsia="zh-CN"/>
        </w:rPr>
        <w:t xml:space="preserve"> has been studied in TR </w:t>
      </w:r>
      <w:r>
        <w:rPr>
          <w:lang w:val="en-US" w:eastAsia="zh-CN"/>
        </w:rPr>
        <w:t>23.700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77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23.228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and TS 23.502 </w:t>
      </w:r>
      <w:r>
        <w:rPr>
          <w:color w:val="000000"/>
          <w:lang w:eastAsia="zh-CN"/>
        </w:rPr>
        <w:t>in SA2.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r>
        <w:rPr>
          <w:rFonts w:hint="eastAsia"/>
          <w:color w:val="000000"/>
          <w:lang w:eastAsia="zh-CN"/>
        </w:rPr>
        <w:t>nd solutions</w:t>
      </w:r>
      <w:r>
        <w:rPr>
          <w:rFonts w:hint="eastAsia"/>
          <w:color w:val="000000"/>
          <w:lang w:val="en-US" w:eastAsia="zh-CN"/>
        </w:rPr>
        <w:t xml:space="preserve"> in TR 28.851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next generation real time </w:t>
      </w:r>
      <w:r>
        <w:rPr>
          <w:lang w:eastAsia="zh-CN"/>
        </w:rPr>
        <w:t>communication services phase 2</w:t>
      </w:r>
      <w:r>
        <w:rPr>
          <w:color w:val="000000"/>
          <w:lang w:val="en-US" w:eastAsia="ja-JP"/>
        </w:rPr>
        <w:t>, based on the output of Rel-1</w:t>
      </w:r>
      <w:r>
        <w:rPr>
          <w:rFonts w:hint="eastAsia" w:eastAsia="宋体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SA2 </w:t>
      </w:r>
      <w:r>
        <w:rPr>
          <w:color w:val="000000"/>
          <w:lang w:eastAsia="zh-CN"/>
        </w:rPr>
        <w:t>NG_RTC_ph2</w:t>
      </w:r>
      <w:r>
        <w:rPr>
          <w:color w:val="000000"/>
          <w:lang w:val="en-US" w:eastAsia="ja-JP"/>
        </w:rPr>
        <w:t xml:space="preserve"> Study Item and Work Item</w:t>
      </w:r>
      <w:r>
        <w:rPr>
          <w:rFonts w:hint="eastAsia" w:eastAsia="宋体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key issues: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color w:val="000000"/>
          <w:lang w:eastAsia="ja-JP"/>
        </w:rPr>
        <w:t>Identify charging scenarios and potential charging requirements to support the following aspects of IMS network capabilities exposure, standalone IMS data channel, avatar communication, services over IMS data channel as a part of 3GPP PS Data Off Exempt Services, and IMS data channel applications download.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lang w:eastAsia="zh-CN"/>
        </w:rPr>
        <w:t>Investigate the potential solutions to support the above charging scenarios and charging requirements.</w:t>
      </w:r>
      <w:r>
        <w:rPr>
          <w:color w:val="000000"/>
          <w:lang w:eastAsia="ja-JP"/>
        </w:rPr>
        <w:t xml:space="preserve">  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highlight w:val="none"/>
          <w:lang w:eastAsia="ja-JP"/>
        </w:rPr>
      </w:pPr>
      <w:r>
        <w:rPr>
          <w:color w:val="000000"/>
          <w:highlight w:val="none"/>
          <w:lang w:eastAsia="ja-JP"/>
        </w:rPr>
        <w:t>As recommended in TR 2</w:t>
      </w:r>
      <w:r>
        <w:rPr>
          <w:color w:val="000000"/>
          <w:highlight w:val="none"/>
          <w:lang w:val="en-US" w:eastAsia="ja-JP"/>
        </w:rPr>
        <w:t>8</w:t>
      </w:r>
      <w:r>
        <w:rPr>
          <w:color w:val="000000"/>
          <w:highlight w:val="none"/>
          <w:lang w:eastAsia="ja-JP"/>
        </w:rPr>
        <w:t>.</w:t>
      </w:r>
      <w:r>
        <w:rPr>
          <w:color w:val="000000"/>
          <w:highlight w:val="none"/>
          <w:lang w:val="en-US" w:eastAsia="ja-JP"/>
        </w:rPr>
        <w:t>8</w:t>
      </w:r>
      <w:r>
        <w:rPr>
          <w:rFonts w:hint="eastAsia" w:eastAsia="宋体"/>
          <w:color w:val="000000"/>
          <w:highlight w:val="none"/>
          <w:lang w:val="en-US" w:eastAsia="zh-CN"/>
        </w:rPr>
        <w:t>51</w:t>
      </w:r>
      <w:r>
        <w:rPr>
          <w:color w:val="000000"/>
          <w:highlight w:val="none"/>
          <w:lang w:eastAsia="ja-JP"/>
        </w:rPr>
        <w:t>, normative</w:t>
      </w:r>
      <w:r>
        <w:rPr>
          <w:color w:val="000000"/>
          <w:highlight w:val="none"/>
          <w:lang w:val="en-US" w:eastAsia="ja-JP"/>
        </w:rPr>
        <w:t xml:space="preserve"> </w:t>
      </w:r>
      <w:r>
        <w:rPr>
          <w:color w:val="000000"/>
          <w:highlight w:val="none"/>
          <w:lang w:eastAsia="ja-JP"/>
        </w:rPr>
        <w:t>work</w:t>
      </w:r>
      <w:r>
        <w:rPr>
          <w:color w:val="000000"/>
          <w:highlight w:val="none"/>
          <w:lang w:val="en-US" w:eastAsia="ja-JP"/>
        </w:rPr>
        <w:t xml:space="preserve"> </w:t>
      </w:r>
      <w:r>
        <w:rPr>
          <w:color w:val="000000"/>
          <w:highlight w:val="none"/>
          <w:lang w:eastAsia="ja-JP"/>
        </w:rPr>
        <w:t xml:space="preserve">is required for </w:t>
      </w:r>
      <w:r>
        <w:rPr>
          <w:rFonts w:hint="eastAsia"/>
          <w:color w:val="000000"/>
          <w:highlight w:val="none"/>
          <w:lang w:eastAsia="ja-JP"/>
        </w:rPr>
        <w:t>next generation real time communication services charging</w:t>
      </w:r>
      <w:r>
        <w:rPr>
          <w:color w:val="000000"/>
          <w:highlight w:val="none"/>
          <w:lang w:val="en-US" w:eastAsia="ja-JP"/>
        </w:rPr>
        <w:t xml:space="preserve"> </w:t>
      </w:r>
      <w:r>
        <w:rPr>
          <w:color w:val="000000"/>
          <w:highlight w:val="none"/>
          <w:lang w:eastAsia="ja-JP"/>
        </w:rPr>
        <w:t>in Rel-1</w:t>
      </w:r>
      <w:r>
        <w:rPr>
          <w:rFonts w:hint="eastAsia" w:eastAsia="宋体"/>
          <w:color w:val="000000"/>
          <w:highlight w:val="none"/>
          <w:lang w:val="en-US" w:eastAsia="zh-CN"/>
        </w:rPr>
        <w:t>9</w:t>
      </w:r>
      <w:r>
        <w:rPr>
          <w:color w:val="000000"/>
          <w:highlight w:val="none"/>
          <w:lang w:eastAsia="ja-JP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highlight w:val="none"/>
          <w:lang w:eastAsia="zh-CN"/>
        </w:rPr>
      </w:pPr>
      <w:r>
        <w:rPr>
          <w:rFonts w:eastAsia="等线"/>
          <w:highlight w:val="none"/>
          <w:lang w:eastAsia="en-GB"/>
        </w:rPr>
        <w:t xml:space="preserve">The objective of the work item is to </w:t>
      </w:r>
      <w:r>
        <w:rPr>
          <w:rFonts w:hint="eastAsia" w:eastAsia="等线"/>
          <w:highlight w:val="none"/>
          <w:lang w:eastAsia="zh-CN"/>
        </w:rPr>
        <w:t>specify</w:t>
      </w:r>
      <w:r>
        <w:rPr>
          <w:rFonts w:eastAsia="等线"/>
          <w:highlight w:val="none"/>
          <w:lang w:eastAsia="zh-CN"/>
        </w:rPr>
        <w:t xml:space="preserve"> the</w:t>
      </w:r>
      <w:r>
        <w:rPr>
          <w:rFonts w:hint="eastAsia" w:eastAsia="等线"/>
          <w:highlight w:val="none"/>
          <w:lang w:eastAsia="ja-JP"/>
        </w:rPr>
        <w:t xml:space="preserve"> following charging principles, procedures, and potential enhancements to</w:t>
      </w:r>
      <w:r>
        <w:rPr>
          <w:rFonts w:hint="eastAsia" w:eastAsia="等线"/>
          <w:highlight w:val="none"/>
          <w:lang w:val="en-US" w:eastAsia="zh-CN"/>
        </w:rPr>
        <w:t xml:space="preserve"> </w:t>
      </w:r>
      <w:r>
        <w:rPr>
          <w:rFonts w:hint="eastAsia" w:eastAsia="等线"/>
          <w:highlight w:val="none"/>
          <w:lang w:eastAsia="ja-JP"/>
        </w:rPr>
        <w:t>charging information and CDRs for</w:t>
      </w:r>
      <w:r>
        <w:rPr>
          <w:rFonts w:hint="eastAsia" w:eastAsia="等线"/>
          <w:highlight w:val="none"/>
          <w:lang w:val="en-US" w:eastAsia="zh-CN"/>
        </w:rPr>
        <w:t xml:space="preserve"> </w:t>
      </w:r>
      <w:r>
        <w:rPr>
          <w:rFonts w:hint="eastAsia" w:eastAsia="等线"/>
          <w:highlight w:val="none"/>
          <w:lang w:eastAsia="ja-JP"/>
        </w:rPr>
        <w:t>next generation real time communication services</w:t>
      </w:r>
      <w:r>
        <w:rPr>
          <w:rFonts w:hint="eastAsia" w:eastAsia="等线"/>
          <w:highlight w:val="none"/>
          <w:lang w:eastAsia="zh-CN"/>
        </w:rPr>
        <w:t>, based on the conclusions in</w:t>
      </w:r>
      <w:r>
        <w:rPr>
          <w:rFonts w:hint="eastAsia" w:eastAsia="等线"/>
          <w:highlight w:val="none"/>
          <w:lang w:val="en-US" w:eastAsia="zh-CN"/>
        </w:rPr>
        <w:t xml:space="preserve"> </w:t>
      </w:r>
      <w:r>
        <w:rPr>
          <w:rFonts w:hint="eastAsia" w:eastAsia="等线"/>
          <w:highlight w:val="none"/>
          <w:lang w:eastAsia="ja-JP"/>
        </w:rPr>
        <w:t>TR 28.8</w:t>
      </w:r>
      <w:r>
        <w:rPr>
          <w:rFonts w:hint="eastAsia" w:eastAsia="等线"/>
          <w:highlight w:val="none"/>
          <w:lang w:val="en-US" w:eastAsia="zh-CN"/>
        </w:rPr>
        <w:t>51</w:t>
      </w:r>
      <w:r>
        <w:rPr>
          <w:rFonts w:eastAsia="等线"/>
          <w:highlight w:val="none"/>
          <w:lang w:eastAsia="zh-CN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hint="default" w:eastAsia="宋体"/>
          <w:color w:val="000000"/>
          <w:highlight w:val="none"/>
          <w:lang w:val="en-US" w:eastAsia="zh-CN"/>
        </w:rPr>
      </w:pPr>
      <w:r>
        <w:rPr>
          <w:rFonts w:hint="eastAsia" w:eastAsia="宋体"/>
          <w:highlight w:val="none"/>
          <w:lang w:eastAsia="zh-CN"/>
        </w:rPr>
        <w:t xml:space="preserve">WT-1: </w:t>
      </w:r>
      <w:r>
        <w:rPr>
          <w:rFonts w:hint="eastAsia" w:eastAsia="宋体"/>
          <w:highlight w:val="none"/>
          <w:lang w:val="en-US" w:eastAsia="zh-CN"/>
        </w:rPr>
        <w:t>Charging s</w:t>
      </w:r>
      <w:r>
        <w:rPr>
          <w:color w:val="000000"/>
          <w:highlight w:val="none"/>
          <w:lang w:val="en-US" w:eastAsia="zh-CN"/>
        </w:rPr>
        <w:t>upport</w:t>
      </w:r>
      <w:r>
        <w:rPr>
          <w:rFonts w:hint="eastAsia" w:eastAsia="宋体"/>
          <w:highlight w:val="none"/>
          <w:lang w:eastAsia="zh-CN"/>
        </w:rPr>
        <w:t xml:space="preserve"> of standalone IMS Data Channel sessions</w:t>
      </w:r>
      <w:r>
        <w:rPr>
          <w:rFonts w:hint="eastAsia" w:eastAsia="宋体"/>
          <w:highlight w:val="none"/>
          <w:lang w:val="en-US" w:eastAsia="zh-CN"/>
        </w:rPr>
        <w:t xml:space="preserve"> in TS 32.255 and TS 32.260;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none"/>
          <w:lang w:val="en-US"/>
        </w:rPr>
      </w:pPr>
      <w:r>
        <w:rPr>
          <w:rFonts w:hint="eastAsia" w:eastAsia="宋体"/>
          <w:highlight w:val="none"/>
          <w:lang w:eastAsia="zh-CN"/>
        </w:rPr>
        <w:t>WT-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 w:eastAsia="宋体"/>
          <w:highlight w:val="none"/>
          <w:lang w:eastAsia="zh-CN"/>
        </w:rPr>
        <w:t xml:space="preserve">: </w:t>
      </w:r>
      <w:r>
        <w:rPr>
          <w:rFonts w:hint="eastAsia" w:eastAsia="宋体"/>
          <w:highlight w:val="none"/>
          <w:lang w:val="en-US" w:eastAsia="zh-CN"/>
        </w:rPr>
        <w:t>Charging s</w:t>
      </w:r>
      <w:r>
        <w:rPr>
          <w:color w:val="000000"/>
          <w:highlight w:val="none"/>
          <w:lang w:val="en-US" w:eastAsia="zh-CN"/>
        </w:rPr>
        <w:t>upport</w:t>
      </w:r>
      <w:r>
        <w:rPr>
          <w:rFonts w:hint="eastAsia"/>
          <w:color w:val="000000"/>
          <w:highlight w:val="none"/>
          <w:lang w:val="en-US" w:eastAsia="zh-CN"/>
        </w:rPr>
        <w:t xml:space="preserve"> of DC application download and usage in </w:t>
      </w:r>
      <w:r>
        <w:rPr>
          <w:rFonts w:hint="eastAsia" w:eastAsia="宋体"/>
          <w:highlight w:val="none"/>
          <w:lang w:val="en-US" w:eastAsia="zh-CN"/>
        </w:rPr>
        <w:t>TS 32.255 and TS 32.260</w:t>
      </w:r>
      <w:r>
        <w:rPr>
          <w:color w:val="000000"/>
          <w:highlight w:val="none"/>
          <w:lang w:val="en-US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hint="default" w:eastAsia="宋体"/>
          <w:color w:val="000000"/>
          <w:highlight w:val="none"/>
          <w:lang w:val="en-US" w:eastAsia="zh-CN"/>
        </w:rPr>
      </w:pPr>
      <w:r>
        <w:rPr>
          <w:rFonts w:hint="eastAsia" w:eastAsia="宋体"/>
          <w:highlight w:val="none"/>
          <w:lang w:eastAsia="zh-CN"/>
        </w:rPr>
        <w:t>WT-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rFonts w:hint="eastAsia" w:eastAsia="宋体"/>
          <w:highlight w:val="none"/>
          <w:lang w:eastAsia="zh-CN"/>
        </w:rPr>
        <w:t xml:space="preserve">: </w:t>
      </w:r>
      <w:r>
        <w:rPr>
          <w:rFonts w:hint="eastAsia" w:eastAsia="宋体"/>
          <w:highlight w:val="none"/>
          <w:lang w:val="en-US" w:eastAsia="zh-CN"/>
        </w:rPr>
        <w:t>Charging s</w:t>
      </w:r>
      <w:r>
        <w:rPr>
          <w:color w:val="000000"/>
          <w:highlight w:val="none"/>
          <w:lang w:val="en-US" w:eastAsia="zh-CN"/>
        </w:rPr>
        <w:t>upport</w:t>
      </w:r>
      <w:r>
        <w:rPr>
          <w:rFonts w:hint="eastAsia" w:eastAsia="宋体"/>
          <w:highlight w:val="none"/>
          <w:lang w:eastAsia="zh-CN"/>
        </w:rPr>
        <w:t xml:space="preserve"> of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eastAsia="等线"/>
          <w:highlight w:val="none"/>
        </w:rPr>
        <w:t>IMS network capabilities exposure</w:t>
      </w:r>
      <w:r>
        <w:rPr>
          <w:rFonts w:hint="eastAsia" w:eastAsia="等线"/>
          <w:highlight w:val="none"/>
          <w:lang w:val="en-US" w:eastAsia="zh-CN"/>
        </w:rPr>
        <w:t xml:space="preserve"> in </w:t>
      </w:r>
      <w:bookmarkStart w:id="0" w:name="_GoBack"/>
      <w:bookmarkEnd w:id="0"/>
      <w:r>
        <w:rPr>
          <w:rFonts w:hint="eastAsia" w:eastAsia="宋体"/>
          <w:highlight w:val="none"/>
          <w:lang w:val="en-US" w:eastAsia="zh-CN"/>
        </w:rPr>
        <w:t>TS 32.254</w:t>
      </w:r>
      <w:r>
        <w:rPr>
          <w:color w:val="000000"/>
          <w:highlight w:val="none"/>
          <w:lang w:val="en-US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none"/>
          <w:lang w:val="en-US"/>
        </w:rPr>
      </w:pPr>
      <w:r>
        <w:rPr>
          <w:rFonts w:hint="eastAsia" w:eastAsia="宋体"/>
          <w:highlight w:val="none"/>
          <w:lang w:eastAsia="zh-CN"/>
        </w:rPr>
        <w:t>WT-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rFonts w:hint="eastAsia" w:eastAsia="宋体"/>
          <w:highlight w:val="none"/>
          <w:lang w:eastAsia="zh-CN"/>
        </w:rPr>
        <w:t xml:space="preserve">: </w:t>
      </w:r>
      <w:r>
        <w:rPr>
          <w:rFonts w:hint="eastAsia" w:eastAsia="宋体"/>
          <w:highlight w:val="none"/>
          <w:lang w:val="en-US" w:eastAsia="zh-CN"/>
        </w:rPr>
        <w:t>Charging s</w:t>
      </w:r>
      <w:r>
        <w:rPr>
          <w:color w:val="000000"/>
          <w:highlight w:val="none"/>
          <w:lang w:val="en-US" w:eastAsia="zh-CN"/>
        </w:rPr>
        <w:t>upport</w:t>
      </w:r>
      <w:r>
        <w:rPr>
          <w:rFonts w:hint="eastAsia"/>
          <w:color w:val="000000"/>
          <w:highlight w:val="none"/>
          <w:lang w:val="en-US" w:eastAsia="zh-CN"/>
        </w:rPr>
        <w:t xml:space="preserve"> of IMS Data Channel as a PS Data Off Exempt Service in TS 32.255</w:t>
      </w:r>
      <w:r>
        <w:rPr>
          <w:color w:val="000000"/>
          <w:highlight w:val="none"/>
          <w:lang w:val="en-US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hint="eastAsia" w:eastAsia="宋体"/>
          <w:color w:val="000000"/>
          <w:highlight w:val="none"/>
          <w:lang w:val="en-US" w:eastAsia="zh-CN"/>
        </w:rPr>
      </w:pPr>
      <w:r>
        <w:rPr>
          <w:rFonts w:hint="eastAsia" w:eastAsia="宋体"/>
          <w:highlight w:val="none"/>
          <w:lang w:eastAsia="zh-CN"/>
        </w:rPr>
        <w:t>WT-</w:t>
      </w:r>
      <w:r>
        <w:rPr>
          <w:rFonts w:hint="eastAsia" w:eastAsia="宋体"/>
          <w:highlight w:val="none"/>
          <w:lang w:val="en-US" w:eastAsia="zh-CN"/>
        </w:rPr>
        <w:t>5</w:t>
      </w:r>
      <w:r>
        <w:rPr>
          <w:rFonts w:hint="eastAsia" w:eastAsia="宋体"/>
          <w:highlight w:val="none"/>
          <w:lang w:eastAsia="zh-CN"/>
        </w:rPr>
        <w:t xml:space="preserve">: </w:t>
      </w:r>
      <w:r>
        <w:rPr>
          <w:rFonts w:hint="eastAsia" w:eastAsia="宋体"/>
          <w:highlight w:val="none"/>
          <w:lang w:val="en-US" w:eastAsia="zh-CN"/>
        </w:rPr>
        <w:t>Charging s</w:t>
      </w:r>
      <w:r>
        <w:rPr>
          <w:color w:val="000000"/>
          <w:highlight w:val="none"/>
          <w:lang w:val="en-US" w:eastAsia="zh-CN"/>
        </w:rPr>
        <w:t>upport</w:t>
      </w:r>
      <w:r>
        <w:rPr>
          <w:rFonts w:hint="eastAsia"/>
          <w:color w:val="000000"/>
          <w:highlight w:val="none"/>
          <w:lang w:val="en-US" w:eastAsia="zh-CN"/>
        </w:rPr>
        <w:t xml:space="preserve"> of</w:t>
      </w:r>
      <w:r>
        <w:rPr>
          <w:color w:val="000000"/>
          <w:highlight w:val="none"/>
          <w:lang w:val="en-US" w:eastAsia="zh-CN"/>
        </w:rPr>
        <w:t xml:space="preserve"> </w:t>
      </w:r>
      <w:r>
        <w:rPr>
          <w:rFonts w:hint="eastAsia" w:eastAsia="宋体"/>
          <w:color w:val="000000"/>
          <w:highlight w:val="none"/>
          <w:lang w:val="en-US" w:eastAsia="zh-CN"/>
        </w:rPr>
        <w:t>a</w:t>
      </w:r>
      <w:r>
        <w:rPr>
          <w:color w:val="000000"/>
          <w:highlight w:val="none"/>
          <w:lang w:val="en-US" w:eastAsia="ja-JP"/>
        </w:rPr>
        <w:t>vatar communication</w:t>
      </w:r>
      <w:r>
        <w:rPr>
          <w:rFonts w:hint="eastAsia" w:eastAsia="宋体"/>
          <w:color w:val="000000"/>
          <w:highlight w:val="none"/>
          <w:lang w:val="en-US" w:eastAsia="zh-CN"/>
        </w:rPr>
        <w:t xml:space="preserve"> </w:t>
      </w:r>
      <w:r>
        <w:rPr>
          <w:rFonts w:hint="eastAsia"/>
          <w:color w:val="000000"/>
          <w:highlight w:val="none"/>
          <w:lang w:val="en-US" w:eastAsia="zh-CN"/>
        </w:rPr>
        <w:t>in TS 32.260</w:t>
      </w:r>
      <w:r>
        <w:rPr>
          <w:rFonts w:hint="eastAsia" w:eastAsia="宋体"/>
          <w:color w:val="000000"/>
          <w:highlight w:val="none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>
      <w:pPr>
        <w:pStyle w:val="3"/>
        <w:rPr>
          <w:rStyle w:val="18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18"/>
          <w:lang w:val="en-US" w:eastAsia="zh-CN"/>
        </w:rPr>
        <w:t xml:space="preserve"> </w:t>
      </w:r>
    </w:p>
    <w:p>
      <w:pPr>
        <w:rPr>
          <w:lang w:val="en-US" w:eastAsia="zh-CN"/>
        </w:rPr>
      </w:pPr>
    </w:p>
    <w:tbl>
      <w:tblPr>
        <w:tblStyle w:val="15"/>
        <w:tblW w:w="963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454"/>
        <w:gridCol w:w="1505"/>
        <w:gridCol w:w="1800"/>
        <w:gridCol w:w="1799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525" w:type="dxa"/>
            <w:shd w:val="clear" w:color="auto" w:fill="auto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  <w:tc>
          <w:tcPr>
            <w:tcW w:w="1505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800" w:type="dxa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>
            <w:r>
              <w:t>Yes</w:t>
            </w:r>
          </w:p>
        </w:tc>
        <w:tc>
          <w:tcPr>
            <w:tcW w:w="1550" w:type="dxa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  <w:tc>
          <w:tcPr>
            <w:tcW w:w="1505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800" w:type="dxa"/>
          </w:tcPr>
          <w:p>
            <w:r>
              <w:t>No</w:t>
            </w:r>
          </w:p>
        </w:tc>
        <w:tc>
          <w:tcPr>
            <w:tcW w:w="1799" w:type="dxa"/>
          </w:tcPr>
          <w:p>
            <w:r>
              <w:t>Yes</w:t>
            </w:r>
          </w:p>
        </w:tc>
        <w:tc>
          <w:tcPr>
            <w:tcW w:w="1550" w:type="dxa"/>
          </w:tcPr>
          <w:p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54" w:type="dxa"/>
            <w:shd w:val="clear" w:color="auto" w:fill="auto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1505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800" w:type="dxa"/>
            <w:vAlign w:val="top"/>
          </w:tcPr>
          <w:p>
            <w:r>
              <w:rPr>
                <w:lang w:eastAsia="zh-CN"/>
              </w:rPr>
              <w:t>No</w:t>
            </w:r>
          </w:p>
        </w:tc>
        <w:tc>
          <w:tcPr>
            <w:tcW w:w="1799" w:type="dxa"/>
            <w:vAlign w:val="top"/>
          </w:tcPr>
          <w:p>
            <w:r>
              <w:t>Yes</w:t>
            </w:r>
          </w:p>
        </w:tc>
        <w:tc>
          <w:tcPr>
            <w:tcW w:w="1550" w:type="dxa"/>
            <w:vAlign w:val="top"/>
          </w:tcPr>
          <w:p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54" w:type="dxa"/>
            <w:shd w:val="clear" w:color="auto" w:fill="auto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1505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800" w:type="dxa"/>
            <w:vAlign w:val="top"/>
          </w:tcPr>
          <w:p>
            <w:r>
              <w:t>No</w:t>
            </w:r>
          </w:p>
        </w:tc>
        <w:tc>
          <w:tcPr>
            <w:tcW w:w="1799" w:type="dxa"/>
            <w:vAlign w:val="top"/>
          </w:tcPr>
          <w:p>
            <w:r>
              <w:t>Yes</w:t>
            </w:r>
          </w:p>
        </w:tc>
        <w:tc>
          <w:tcPr>
            <w:tcW w:w="1550" w:type="dxa"/>
            <w:vAlign w:val="top"/>
          </w:tcPr>
          <w:p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54" w:type="dxa"/>
            <w:shd w:val="clear" w:color="auto" w:fill="auto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1505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800" w:type="dxa"/>
            <w:vAlign w:val="top"/>
          </w:tcPr>
          <w:p>
            <w:r>
              <w:rPr>
                <w:lang w:eastAsia="zh-CN"/>
              </w:rPr>
              <w:t>No</w:t>
            </w:r>
          </w:p>
        </w:tc>
        <w:tc>
          <w:tcPr>
            <w:tcW w:w="1799" w:type="dxa"/>
            <w:vAlign w:val="top"/>
          </w:tcPr>
          <w:p>
            <w:r>
              <w:t>Yes</w:t>
            </w:r>
          </w:p>
        </w:tc>
        <w:tc>
          <w:tcPr>
            <w:tcW w:w="1550" w:type="dxa"/>
            <w:vAlign w:val="top"/>
          </w:tcPr>
          <w:p>
            <w:r>
              <w:rPr>
                <w:lang w:eastAsia="zh-CN"/>
              </w:rPr>
              <w:t>No</w:t>
            </w:r>
          </w:p>
        </w:tc>
      </w:tr>
    </w:tbl>
    <w:p/>
    <w:p>
      <w:pPr>
        <w:rPr>
          <w:rFonts w:hint="eastAsia"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hint="eastAsia" w:eastAsia="宋体"/>
          <w:b/>
          <w:bCs/>
          <w:lang w:val="en-US" w:eastAsia="zh-CN"/>
        </w:rPr>
        <w:t>0</w:t>
      </w:r>
    </w:p>
    <w:p>
      <w:pPr>
        <w:rPr>
          <w:b/>
          <w:bCs/>
        </w:rPr>
      </w:pPr>
      <w:r>
        <w:rPr>
          <w:b/>
          <w:bCs/>
        </w:rPr>
        <w:t>Total TU estimates for the normative phase: 3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hint="eastAsia" w:eastAsia="宋体"/>
          <w:b/>
          <w:bCs/>
          <w:lang w:val="en-US" w:eastAsia="zh-CN"/>
        </w:rPr>
        <w:t>3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spacing w:after="0"/>
            </w:pPr>
          </w:p>
        </w:tc>
        <w:tc>
          <w:tcPr>
            <w:tcW w:w="1134" w:type="dxa"/>
          </w:tcPr>
          <w:p>
            <w:pPr>
              <w:pStyle w:val="25"/>
              <w:spacing w:after="0"/>
            </w:pPr>
          </w:p>
        </w:tc>
        <w:tc>
          <w:tcPr>
            <w:tcW w:w="2409" w:type="dxa"/>
          </w:tcPr>
          <w:p>
            <w:pPr>
              <w:pStyle w:val="25"/>
              <w:spacing w:after="0"/>
            </w:pPr>
          </w:p>
        </w:tc>
        <w:tc>
          <w:tcPr>
            <w:tcW w:w="993" w:type="dxa"/>
          </w:tcPr>
          <w:p>
            <w:pPr>
              <w:pStyle w:val="25"/>
              <w:spacing w:after="0"/>
            </w:pPr>
          </w:p>
        </w:tc>
        <w:tc>
          <w:tcPr>
            <w:tcW w:w="1074" w:type="dxa"/>
          </w:tcPr>
          <w:p>
            <w:pPr>
              <w:pStyle w:val="25"/>
              <w:spacing w:after="0"/>
            </w:pPr>
          </w:p>
        </w:tc>
        <w:tc>
          <w:tcPr>
            <w:tcW w:w="2186" w:type="dxa"/>
          </w:tcPr>
          <w:p>
            <w:pPr>
              <w:pStyle w:val="25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</w:pPr>
          </w:p>
        </w:tc>
        <w:tc>
          <w:tcPr>
            <w:tcW w:w="1134" w:type="dxa"/>
          </w:tcPr>
          <w:p>
            <w:pPr>
              <w:pStyle w:val="27"/>
            </w:pPr>
          </w:p>
        </w:tc>
        <w:tc>
          <w:tcPr>
            <w:tcW w:w="2409" w:type="dxa"/>
          </w:tcPr>
          <w:p>
            <w:pPr>
              <w:pStyle w:val="27"/>
            </w:pPr>
          </w:p>
        </w:tc>
        <w:tc>
          <w:tcPr>
            <w:tcW w:w="993" w:type="dxa"/>
          </w:tcPr>
          <w:p>
            <w:pPr>
              <w:pStyle w:val="27"/>
            </w:pPr>
          </w:p>
        </w:tc>
        <w:tc>
          <w:tcPr>
            <w:tcW w:w="1074" w:type="dxa"/>
          </w:tcPr>
          <w:p>
            <w:pPr>
              <w:pStyle w:val="27"/>
            </w:pPr>
          </w:p>
        </w:tc>
        <w:tc>
          <w:tcPr>
            <w:tcW w:w="2186" w:type="dxa"/>
          </w:tcPr>
          <w:p>
            <w:pPr>
              <w:pStyle w:val="27"/>
            </w:pPr>
          </w:p>
        </w:tc>
      </w:tr>
    </w:tbl>
    <w:p>
      <w:pPr>
        <w:pStyle w:val="30"/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spacing w:after="0"/>
            </w:pP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Northbound API converged charging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to support charging for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spacing w:after="0"/>
            </w:pP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charging for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32.260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Add IMS charging principle and procedure for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</w:pPr>
            <w:r>
              <w:t>32.291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</w:pPr>
            <w:r>
              <w:t>Update Nchf_ConvergedCharging service API</w:t>
            </w:r>
            <w:r>
              <w:rPr>
                <w:lang w:val="en-US"/>
              </w:rPr>
              <w:t xml:space="preserve"> </w:t>
            </w:r>
            <w:r>
              <w:rPr>
                <w:rFonts w:hint="eastAsia" w:eastAsiaTheme="minor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</w:pPr>
            <w:r>
              <w:t>32.298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hint="eastAsia" w:eastAsiaTheme="minor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next generation real time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communication services phase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rPr>
          <w:rFonts w:eastAsia="宋体"/>
          <w:lang w:eastAsia="en-GB"/>
        </w:rPr>
        <w:t>SA5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rPr>
          <w:rFonts w:hint="eastAsia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t>MATRIXX Software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eastAsia"/>
                <w:lang w:val="en-US"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FD8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B1C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A548EC"/>
    <w:rsid w:val="021B47BF"/>
    <w:rsid w:val="0290761D"/>
    <w:rsid w:val="02921383"/>
    <w:rsid w:val="029E5458"/>
    <w:rsid w:val="03986975"/>
    <w:rsid w:val="03D853F3"/>
    <w:rsid w:val="047363D2"/>
    <w:rsid w:val="05D07899"/>
    <w:rsid w:val="06086A7D"/>
    <w:rsid w:val="06482C17"/>
    <w:rsid w:val="069C4FED"/>
    <w:rsid w:val="07651585"/>
    <w:rsid w:val="07855C66"/>
    <w:rsid w:val="08261F6C"/>
    <w:rsid w:val="088F1E29"/>
    <w:rsid w:val="0A5E508E"/>
    <w:rsid w:val="0B300C6A"/>
    <w:rsid w:val="0BDE2087"/>
    <w:rsid w:val="0CC6128C"/>
    <w:rsid w:val="0CC72594"/>
    <w:rsid w:val="0DCC127E"/>
    <w:rsid w:val="0ECC1455"/>
    <w:rsid w:val="0F6901C8"/>
    <w:rsid w:val="10F11978"/>
    <w:rsid w:val="110C11F7"/>
    <w:rsid w:val="124A745D"/>
    <w:rsid w:val="12AC1431"/>
    <w:rsid w:val="13C85418"/>
    <w:rsid w:val="13D60490"/>
    <w:rsid w:val="171A3F3A"/>
    <w:rsid w:val="19014C21"/>
    <w:rsid w:val="1AB772D9"/>
    <w:rsid w:val="1B185A41"/>
    <w:rsid w:val="1B5609B3"/>
    <w:rsid w:val="1E80787A"/>
    <w:rsid w:val="1F1F71FB"/>
    <w:rsid w:val="1FD63F0E"/>
    <w:rsid w:val="1FF259B6"/>
    <w:rsid w:val="21701766"/>
    <w:rsid w:val="21D932F2"/>
    <w:rsid w:val="229A208F"/>
    <w:rsid w:val="23A45007"/>
    <w:rsid w:val="2424063E"/>
    <w:rsid w:val="24FC68BD"/>
    <w:rsid w:val="25A87D46"/>
    <w:rsid w:val="268F69D3"/>
    <w:rsid w:val="26E941E4"/>
    <w:rsid w:val="282D66E4"/>
    <w:rsid w:val="285D48A0"/>
    <w:rsid w:val="2BFE389A"/>
    <w:rsid w:val="2C795BB7"/>
    <w:rsid w:val="2D957625"/>
    <w:rsid w:val="2DFB3C7C"/>
    <w:rsid w:val="2F0A40AB"/>
    <w:rsid w:val="2F27405A"/>
    <w:rsid w:val="2F9B4741"/>
    <w:rsid w:val="30BD4C17"/>
    <w:rsid w:val="31CE4DAA"/>
    <w:rsid w:val="34087626"/>
    <w:rsid w:val="346900FD"/>
    <w:rsid w:val="35CE5C5B"/>
    <w:rsid w:val="366C0BDF"/>
    <w:rsid w:val="37A92DDE"/>
    <w:rsid w:val="39144D24"/>
    <w:rsid w:val="3A6C0C66"/>
    <w:rsid w:val="3A8A1D9E"/>
    <w:rsid w:val="3B9925D9"/>
    <w:rsid w:val="3CC13740"/>
    <w:rsid w:val="3F5C4F35"/>
    <w:rsid w:val="3FF77AA5"/>
    <w:rsid w:val="41BC27FF"/>
    <w:rsid w:val="423461EC"/>
    <w:rsid w:val="428D00BE"/>
    <w:rsid w:val="432702BD"/>
    <w:rsid w:val="4376003C"/>
    <w:rsid w:val="44150E3F"/>
    <w:rsid w:val="444D481C"/>
    <w:rsid w:val="44830376"/>
    <w:rsid w:val="450E7570"/>
    <w:rsid w:val="453E515E"/>
    <w:rsid w:val="4547149D"/>
    <w:rsid w:val="479E040B"/>
    <w:rsid w:val="48DB206F"/>
    <w:rsid w:val="49563919"/>
    <w:rsid w:val="49A346C1"/>
    <w:rsid w:val="4AA969DF"/>
    <w:rsid w:val="4B93629F"/>
    <w:rsid w:val="4BE614DC"/>
    <w:rsid w:val="4C350CC1"/>
    <w:rsid w:val="4CC44899"/>
    <w:rsid w:val="4D1D5914"/>
    <w:rsid w:val="4E235ED6"/>
    <w:rsid w:val="4F3918C3"/>
    <w:rsid w:val="4F8745E7"/>
    <w:rsid w:val="4F93361D"/>
    <w:rsid w:val="50040D6C"/>
    <w:rsid w:val="517214FA"/>
    <w:rsid w:val="51AC5134"/>
    <w:rsid w:val="53803794"/>
    <w:rsid w:val="55D909B9"/>
    <w:rsid w:val="55F54D13"/>
    <w:rsid w:val="56497ED7"/>
    <w:rsid w:val="56527255"/>
    <w:rsid w:val="56B961B2"/>
    <w:rsid w:val="56E908C8"/>
    <w:rsid w:val="58E51805"/>
    <w:rsid w:val="5B484F61"/>
    <w:rsid w:val="5B7B6323"/>
    <w:rsid w:val="5BB12F7A"/>
    <w:rsid w:val="5C9F4BDD"/>
    <w:rsid w:val="5D1642BC"/>
    <w:rsid w:val="5D430B64"/>
    <w:rsid w:val="5EB26C83"/>
    <w:rsid w:val="5F813FC0"/>
    <w:rsid w:val="602003E1"/>
    <w:rsid w:val="60F93CB5"/>
    <w:rsid w:val="612D33D0"/>
    <w:rsid w:val="61A85B43"/>
    <w:rsid w:val="61EF472C"/>
    <w:rsid w:val="62111CEF"/>
    <w:rsid w:val="63D22FD5"/>
    <w:rsid w:val="63DF10FC"/>
    <w:rsid w:val="64E326C0"/>
    <w:rsid w:val="66482664"/>
    <w:rsid w:val="671B17B8"/>
    <w:rsid w:val="67FD21AD"/>
    <w:rsid w:val="68B62288"/>
    <w:rsid w:val="690C775D"/>
    <w:rsid w:val="6A531E81"/>
    <w:rsid w:val="6A71016F"/>
    <w:rsid w:val="6A9042E2"/>
    <w:rsid w:val="6B800DA2"/>
    <w:rsid w:val="6BA347D7"/>
    <w:rsid w:val="6D5B2FEC"/>
    <w:rsid w:val="6E973883"/>
    <w:rsid w:val="6E9B1E5C"/>
    <w:rsid w:val="716651F8"/>
    <w:rsid w:val="727453AB"/>
    <w:rsid w:val="750C6A6A"/>
    <w:rsid w:val="75155D26"/>
    <w:rsid w:val="755F2CCE"/>
    <w:rsid w:val="759252EF"/>
    <w:rsid w:val="77F964CE"/>
    <w:rsid w:val="796856C7"/>
    <w:rsid w:val="7A9D6BAD"/>
    <w:rsid w:val="7AC65BFC"/>
    <w:rsid w:val="7BC22193"/>
    <w:rsid w:val="7BE218B5"/>
    <w:rsid w:val="7C84739B"/>
    <w:rsid w:val="7C8E750C"/>
    <w:rsid w:val="7CBD259D"/>
    <w:rsid w:val="7CE539BB"/>
    <w:rsid w:val="7D4E6837"/>
    <w:rsid w:val="7D662A5A"/>
    <w:rsid w:val="7EA54642"/>
    <w:rsid w:val="7F8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2">
    <w:name w:val="List"/>
    <w:basedOn w:val="1"/>
    <w:qFormat/>
    <w:uiPriority w:val="0"/>
    <w:pPr>
      <w:ind w:left="283" w:hanging="283"/>
      <w:contextualSpacing/>
    </w:pPr>
  </w:style>
  <w:style w:type="paragraph" w:styleId="13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character" w:styleId="18">
    <w:name w:val="Emphasis"/>
    <w:qFormat/>
    <w:uiPriority w:val="0"/>
    <w:rPr>
      <w:i/>
      <w:iCs/>
    </w:rPr>
  </w:style>
  <w:style w:type="paragraph" w:customStyle="1" w:styleId="19">
    <w:name w:val="B1"/>
    <w:basedOn w:val="12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Header Char"/>
    <w:link w:val="11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1122</Words>
  <Characters>6396</Characters>
  <Lines>53</Lines>
  <Paragraphs>15</Paragraphs>
  <TotalTime>1</TotalTime>
  <ScaleCrop>false</ScaleCrop>
  <LinksUpToDate>false</LinksUpToDate>
  <CharactersWithSpaces>7503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CMCC</cp:lastModifiedBy>
  <cp:lastPrinted>2001-04-23T09:30:00Z</cp:lastPrinted>
  <dcterms:modified xsi:type="dcterms:W3CDTF">2025-02-07T11:29:57Z</dcterms:modified>
  <dc:title>Source: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2052-11.8.2.12309</vt:lpwstr>
  </property>
  <property fmtid="{D5CDD505-2E9C-101B-9397-08002B2CF9AE}" pid="4" name="ICV">
    <vt:lpwstr>0CE23407F493451CA16307B8781F76B1</vt:lpwstr>
  </property>
</Properties>
</file>